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2021年度</w:t>
              <w:br w:type="textWrapping"/>
              <w:t/>
            </w:r>
            <w:r>
              <w:rPr>
                <w:rFonts w:ascii="宋体" w:hAnsi="宋体" w:cs="宋体" w:eastAsia="宋体"/>
                <w:b w:val="true"/>
                <w:sz w:val="52"/>
              </w:rPr>
              <w:t>无锡市劳动保障监察支队</w:t>
            </w:r>
            <w:r>
              <w:rPr>
                <w:rFonts w:ascii="宋体" w:hAnsi="宋体" w:cs="宋体" w:eastAsia="宋体"/>
                <w:b w:val="true"/>
                <w:sz w:val="52"/>
              </w:rPr>
              <w:t xml:space="preserve"></w:t>
              <w:br w:type="textWrapping"/>
              <w:t>单位决算公开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宣传贯彻国家有关劳动和社会保障工作的法律、法规、规章和政策；负责组织实施全市性的专项劳动保障执法检查和劳动保障年检；负责重大劳动保障违法案件的查处工作，承担用人单位及市区劳动派遣和人事外包单位的劳动保障监察工作；负责依法查处违反人才市场管理规定的行为；负责处理因劳动保障纠纷引起的集体上访、罢工等突发事件；指导市（县）、区劳动保障监察机构监察业务工作；承办市人力资源和社会保障局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综合科、监察一科、监察二科、监察三科、监察四科、案审监督科6个内设机构。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2021年，支队认真贯彻落实局党委各项决策部署，坚持全面推进、多点突破，紧紧围绕劳动保障监察年度重点工作任务，创新工作举措，压实工作责任，提高工作实效，圆满完成各项工作目标。（一）联动平台系统内案件按期运行率100%（省考核目标96%）、按时结案率达到100%（省考核目标98%）。（二）全面使用省一体化办案平台，高效流转案件线索，全市人均“双随机”执法检查用人单位90户，完成年度人均不低于60户的工作目标任务，办案质量稳步提升，企业、职工满意度持续提高，劳动关系大局总体稳定。（三）推进企业信用体系建设,促进和规范企业用工行为，营造诚实守信的良好社会氛围，完成2021年度劳动保障诚信企业的命名表彰工作，共评定83家，累计评定并保留2014家诚信企业；着力构建守法诚信评价体系,全面开展用人单位诚信等级评价，落实分级分类管理。截至12月底，已对全市6.21万家用人单位开展网上书面审查和诚信等级评价；完善违法行为公布机制。着力规范重大劳动保障违法行为公布程序，上半年通过门户网站、微信公众号、网络媒体等途径分5批向社会公布欠薪典型案例31件，不断强化对违法欠薪行为的警示作用。（四）全面落实“放管服”工作要求。持续优化案件受理流程和办案程序、简化受理材料，为劳动者提供高效便捷的维权服务。全面推行网上书审，加强网上申报宣传力度，为用人单位提供优质的指导服务。2021年，全市网上书面审查率达100%。</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无锡市劳动保障监察支队</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无锡市劳动保障监察支队</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989.50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703.50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26.09</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259.91</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989.50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989.50</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989.50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989.50</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989.50</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989.50</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人力资源和社会保障管理事务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634.08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634.08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591.66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591.66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劳动保障监察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其他人力资源和社会保障管理事务支出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69.41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69.41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行政事业单位医疗</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行政单位医疗</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989.50</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989.50</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703.50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人力资源和社会保障管理事务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634.08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634.08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591.66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591.66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劳动保障监察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27.82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27.82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其他人力资源和社会保障管理事务支出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14.60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14.60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69.41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69.41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46.28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46.28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23.14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23.14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26.09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26.09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行政事业单位医疗</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26.09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26.09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行政单位医疗</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26.09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26.09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259.91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259.91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259.91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259.91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80.86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80.86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67.22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67.22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111.83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无锡市劳动保障监察支队</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259.91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259.91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989.50</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989.50</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人力资源和社会保障管理事务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634.08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634.08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591.66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591.66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劳动保障监察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其他人力资源和社会保障管理事务支出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69.41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69.41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46.28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46.28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26.09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259.91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259.91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259.91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259.91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80.86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80.86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67.22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67.22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111.83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无锡市劳动保障监察支队</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989.50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915.89</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909.76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909.76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239.61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989.50</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989.50</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人力资源和社会保障管理事务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634.08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634.08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591.66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591.66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劳动保障监察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其他人力资源和社会保障管理事务支出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69.41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69.41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259.91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67.22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989.50</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915.89</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909.76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909.76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239.61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0.72</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0.72</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5.20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0.29</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0.29</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2.34</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23</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73.61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73.23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4.92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1.43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0.73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2.56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5.05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21.02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0.71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2.34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16.09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7.60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0.12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9.26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0.38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0.38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无锡市劳动保障监察支队</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无政府采购支出决算，故本表为空。</w:t>
      </w:r>
      <w:r>
        <w:rPr>
          <w:rFonts w:ascii="仿宋" w:hAnsi="仿宋" w:cs="仿宋" w:eastAsia="仿宋"/>
          <w:sz w:val="22"/>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2021年度收入、支出决算总计989.5万元。与上年相比，收、支总计各增加91.61万元，增长10.2%。其中：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（一）收入决算总计989.5万元。包括：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1.本年收入决算合计989.5万元。与上年相比，增加91.61万元，增长10.2%，变动原因：一是年内新增2人，二是人员经费政策性增长。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（二）支出决算总计989.5万元。包括：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1.本年支出决算合计989.5万元。与上年相比，增加91.61万元，增长10.2%，变动原因：一是年内新增2人，二是人员经费政策性增长。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989.5万元，其中：财政拨款收入989.5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2021年度本年支出决算合计989.5万元，其中：基本支出989.5万元，占100%；项目支出0万元，占0%；上缴上级支出0万元，占0%；经营支出0万元，占0%；对附属单位补助支出0万元，占0%。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2021年度财政拨款收入、支出决算总计989.5万元。与上年相比，收、支总计各增加91.61万元，增长10.2%，变动原因：一是年内新增2人，二是人员经费政策性增长。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2021年度财政拨款支出决算989.5万元，占本年支出合计的100%。与2021年度财政拨款支出年初预算706.07万元相比，完成年初预算的140.14%。其中：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1.人力资源和社会保障管理事务（款）行政运行（项）。年初预算357.16万元，支出决算591.66万元，完成年初预算的165.66%。决算数与年初预算数的差异原因：一是年内新增2人，二是人员经费政策性增长。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人力资源和社会保障管理事务（款）劳动保障监察（项）。年初预算55.59万元，支出决算27.82万元，完成年初预算的50.04%。决算数与年初预算数的差异原因：受疫情影响，全市监察员素能提升培训场次和规模低于预期。</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3.人力资源和社会保障管理事务（款）其他人力资源和社会保障管理事务支出（项）。年初预算14.6万元，支出决算14.6万元，完成年初预算的100%。决算数与年初预算数相同。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4.行政事业单位养老支出（款）机关事业单位基本养老保险缴费支出（项）。年初预算43.13万元，支出决算46.28万元，完成年初预算的107.3%。决算数与年初预算数的差异原因：养老保险缴费基数调整。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5.行政事业单位养老支出（款）机关事业单位职业年金缴费支出（项）。年初预算21.56万元，支出决算23.14万元，完成年初预算的107.33%。决算数与年初预算数的差异原因：职业年金缴费基数调整。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行政事业单位医疗（款）行政单位医疗（项）。年初预算24.21万元，支出决算26.09万元，完成年初预算的107.77%。决算数与年初预算数的差异原因：医疗保险缴费基数调整。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1.住房改革支出（款）住房公积金（项）。年初预算59.94万元，支出决算80.86万元，完成年初预算的134.9%。决算数与年初预算数的差异原因：一是年内新增2人，二是人员经费政策性增长。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2.住房改革支出（款）提租补贴（项）。年初预算50.76万元，支出决算67.22万元，完成年初预算的132.43%。决算数与年初预算数的差异原因：一是年内新增2人，二是人员经费政策性增长。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3.住房改革支出（款）购房补贴（项）。年初预算79.12万元，支出决算111.83万元，完成年初预算的141.34%。决算数与年初预算数的差异原因：一是年内新增2人，二是人员经费政策性增长。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2021年度财政拨款基本支出决算989.5万元，其中：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（一）人员经费915.89万元。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（二）公用经费73.61万元。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主要包括：办公费、印刷费、水费、电费、邮电费、物业管理费、差旅费、维修（护）费、培训费、公务接待费、委托业务费、工会经费、福利费、其他交通费用、其他商品和服务支出、办公设备购置。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2021年度一般公共预算财政拨款支出决算989.5万元。与上年相比，增加91.61万元，增长10.2%，变动原因：一是年内新增2人，二是人员经费政策性增长。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2021年度一般公共预算财政拨款基本支出决算989.5万元，其中：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（一）人员经费915.89万元。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（二）公用经费73.61万元。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主要包括：办公费、印刷费、水费、电费、邮电费、物业管理费、差旅费、维修（护）费、培训费、公务接待费、委托业务费、工会经费、福利费、其他交通费用、其他商品和服务支出、办公设备购置。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0.29万元。与上年相比，增加0.08万元，变动原因：增长部分均为公务接待费。2020年受新冠疫情影响，公务接待批次和人次较少。其中，因公出国（境）费支出0万元，占“三公”经费的0%；公务用车购置及运行维护费支出0万元，占“三公”经费的0%；公务接待费支出0.29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2．公务用车购置及运行维护费支出预算0万元，支出决算0万元，完成预算的100%，决算数与预算数相同。其中：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2021年12月31日，使用一般公共预算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0.72万元，支出决算0.29万元，完成预算的40.28%，决算数与预算数的差异原因：严格执行公务接待费相关规定，控制公务接待费用。其中：国内公务接待支出0.29万元，接待3批次，23人次，开支内容：主要为接待外市劳动监察条线调研和省级相关部门调研、督导；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2021年度一般公共预算财政拨款会议费支出预算1万元，支出决算0万元，完成预算的0%，决算数与预算数的差异原因：受疫情影响，会议多以线上方式举办。2021年度全年召开会议0个，参加会议0人次。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5.2万元，支出决算2.34万元，完成预算的45%，决算数与预算数的差异原因：受疫情影响，外出培训减少，以线上培训为主。2021年度全年组织培训9个，组织培训30人次，开支内容：开展全市监察员换证培训、人社系统信息员能力提升培训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2021年度机关运行经费支出决算73.61万元。与上年相比，增加7.2万元，增长10.84%，变动原因：开展全市监察员素能培训。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2021年度政府采购支出总额0万元，其中：政府采购货物支出0万元、政府采购工程支出0万元、政府采购服务支出0万元。政府采购授予中小企业合同金额0万元，其中：授予小微企业合同金额0万元。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本单位共对上年度已实施完成的3个项目开展了绩效自评价，涉及财政性资金合计42.42万元；本单位共开展1项单位整体支出绩效自评价，涉及财政性资金合计989.5万元。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十九、社会保障和就业支出(类)人力资源和社会保障管理事务(款)行政运行(项)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二十、社会保障和就业支出(类)人力资源和社会保障管理事务(款)劳动保障监察(项)</w:t>
      </w:r>
      <w:r>
        <w:rPr>
          <w:rFonts w:ascii="仿宋" w:hAnsi="仿宋" w:cs="仿宋" w:eastAsia="仿宋"/>
          <w:b w:val="true"/>
        </w:rPr>
        <w:t>：</w:t>
      </w:r>
      <w:r>
        <w:rPr>
          <w:rFonts w:hint="eastAsia" w:ascii="仿宋" w:hAnsi="仿宋" w:eastAsia="仿宋" w:cs="仿宋"/>
        </w:rPr>
        <w:t>反映劳动保障监察事务支出。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二十一、社会保障和就业支出(类)人力资源和社会保障管理事务(款)其他人力资源和社会保障管理事务支出(项)</w:t>
      </w:r>
      <w:r>
        <w:rPr>
          <w:rFonts w:ascii="仿宋" w:hAnsi="仿宋" w:cs="仿宋" w:eastAsia="仿宋"/>
          <w:b w:val="true"/>
        </w:rPr>
        <w:t>：</w:t>
      </w:r>
      <w:r>
        <w:rPr>
          <w:rFonts w:hint="eastAsia" w:ascii="仿宋" w:hAnsi="仿宋" w:eastAsia="仿宋" w:cs="仿宋"/>
        </w:rPr>
        <w:t>反映除上述项目以外其他用于人力资源和社会保障管理事务方面的支出。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二十四、卫生健康支出(类)行政事业单位医疗(款)行政单位医疗(项)</w:t>
      </w:r>
      <w:r>
        <w:rPr>
          <w:rFonts w:ascii="仿宋" w:hAnsi="仿宋" w:cs="仿宋" w:eastAsia="仿宋"/>
          <w:b w:val="true"/>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无锡市劳动保障监察支队</w:t>
    </w:r>
    <w:r>
      <w:t>2021年度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