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C1A2B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640" w:firstLineChars="200"/>
        <w:jc w:val="center"/>
        <w:textAlignment w:val="baseline"/>
        <w:rPr>
          <w:rFonts w:hint="eastAsia" w:ascii="微软雅黑" w:hAnsi="微软雅黑" w:eastAsia="微软雅黑" w:cs="微软雅黑"/>
          <w:bCs/>
          <w:kern w:val="2"/>
          <w:sz w:val="32"/>
          <w:szCs w:val="32"/>
          <w:highlight w:val="none"/>
          <w:lang w:val="en-US" w:eastAsia="zh-CN" w:bidi="ar-SA"/>
        </w:rPr>
      </w:pPr>
      <w:r>
        <w:rPr>
          <w:rFonts w:hint="eastAsia" w:ascii="微软雅黑" w:hAnsi="微软雅黑" w:eastAsia="微软雅黑" w:cs="微软雅黑"/>
          <w:b/>
          <w:bCs w:val="0"/>
          <w:kern w:val="2"/>
          <w:sz w:val="32"/>
          <w:szCs w:val="32"/>
          <w:highlight w:val="none"/>
          <w:lang w:val="en-US" w:eastAsia="zh-CN" w:bidi="ar-SA"/>
        </w:rPr>
        <w:t>项目技术要求和有关说明</w:t>
      </w:r>
    </w:p>
    <w:p w14:paraId="300E1D27">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default"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1.项目背景</w:t>
      </w:r>
    </w:p>
    <w:p w14:paraId="5AC638ED">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河道是水资源的重要载体，是生态系统的重要组成部分，事关防洪、供水、生态安全。空间完整、功能完好、生态环境优美的河湖水域岸线，是最普惠的民生福祉和公共资源。加强河道管理范围内建设项目的监督管理，是水行政主管部门肩负的重要职责，也是加强河湖管理保护的重要内容。</w:t>
      </w:r>
      <w:bookmarkStart w:id="0" w:name="_GoBack"/>
      <w:bookmarkEnd w:id="0"/>
    </w:p>
    <w:p w14:paraId="13140AC1">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按照《江苏省水利厅关于印发河道管理范围内建设项目监督管理实施办法（试行）的通知》（苏水规[2021]3号）、《无锡市水利局印发关于加强水行政审批全过程服务与监管的实施意见（试行）的通知》（锡水政[2022]9号）、《关于印发无锡市水行政审批全过程服务与监管工作配套文件的通知》（锡水政[2023]9号）的文件要求，全面贯彻和开展了锡山区 2025 年度涉河建设监督检查项目。本项目拟委托第三方技术服务单位对锡山区境内所有涉河建设项目实施事前、事中和事后技术要点的监测技术服务工作。根据涉河建设项目的具体建设内容，对工程项目监管要点进行分析和实地监测，为涉河行政审批提供准确数据依据。杜绝重批轻管、监管职责不明、监管内容不清等问题和人为侵占河湖水域岸线现象，有效提高水域空间监管效能、保障水利工程防洪安全、维护河湖良好管理秩序。</w:t>
      </w:r>
    </w:p>
    <w:p w14:paraId="7EFF985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eastAsia"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2.参考文件和标准</w:t>
      </w:r>
    </w:p>
    <w:p w14:paraId="56B04737">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w:t>
      </w:r>
      <w:r>
        <w:rPr>
          <w:rFonts w:hint="default" w:ascii="仿宋" w:hAnsi="仿宋" w:eastAsia="仿宋" w:cs="仿宋"/>
          <w:bCs/>
          <w:kern w:val="2"/>
          <w:sz w:val="24"/>
          <w:szCs w:val="24"/>
          <w:highlight w:val="none"/>
          <w:lang w:val="en-US" w:eastAsia="zh-CN" w:bidi="ar-SA"/>
        </w:rPr>
        <w:t>《水利部关于印发河湖管理监督检查办法（试行）的通知》</w:t>
      </w:r>
    </w:p>
    <w:p w14:paraId="7AD45197">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（2）</w:t>
      </w:r>
      <w:r>
        <w:rPr>
          <w:rFonts w:hint="default" w:ascii="仿宋" w:hAnsi="仿宋" w:eastAsia="仿宋" w:cs="仿宋"/>
          <w:bCs/>
          <w:kern w:val="2"/>
          <w:sz w:val="24"/>
          <w:szCs w:val="24"/>
          <w:highlight w:val="none"/>
          <w:lang w:val="en-US" w:eastAsia="zh-CN" w:bidi="ar-SA"/>
        </w:rPr>
        <w:t>《省政府关于加强和规范事中事后监管的实施意见》</w:t>
      </w:r>
    </w:p>
    <w:p w14:paraId="0665889F">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（3）</w:t>
      </w:r>
      <w:r>
        <w:rPr>
          <w:rFonts w:hint="default" w:ascii="仿宋" w:hAnsi="仿宋" w:eastAsia="仿宋" w:cs="仿宋"/>
          <w:bCs/>
          <w:kern w:val="2"/>
          <w:sz w:val="24"/>
          <w:szCs w:val="24"/>
          <w:highlight w:val="none"/>
          <w:lang w:val="en-US" w:eastAsia="zh-CN" w:bidi="ar-SA"/>
        </w:rPr>
        <w:t>《江苏省河道管理范围内建设项目监督管理实施办法（试行）》</w:t>
      </w:r>
    </w:p>
    <w:p w14:paraId="035BB50F">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 xml:space="preserve">（4）《水位观测标准》GB/T 50138 </w:t>
      </w:r>
    </w:p>
    <w:p w14:paraId="2F6723B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 xml:space="preserve">（5）《全球定位系统实时动态测量（RTK）技术规范》CH/T 2009 </w:t>
      </w:r>
    </w:p>
    <w:p w14:paraId="428C8825">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（6）《工程测量规范》GB 50026-2020</w:t>
      </w:r>
    </w:p>
    <w:p w14:paraId="7697FD14">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（7）《水利水电工程测量规范》SL197-2013</w:t>
      </w:r>
    </w:p>
    <w:p w14:paraId="0F3306BB">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（8）《内陆水域水下地形测量技术规程》CH/T 7003-2021</w:t>
      </w:r>
    </w:p>
    <w:p w14:paraId="4BCAC7FF">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（9）《水利一张图空间信息服务规范》SL/T 801-2020</w:t>
      </w:r>
    </w:p>
    <w:p w14:paraId="4744620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（10）《</w:t>
      </w:r>
      <w:r>
        <w:rPr>
          <w:rFonts w:hint="default" w:ascii="仿宋" w:hAnsi="仿宋" w:eastAsia="仿宋" w:cs="仿宋"/>
          <w:bCs/>
          <w:kern w:val="2"/>
          <w:sz w:val="24"/>
          <w:szCs w:val="24"/>
          <w:highlight w:val="none"/>
          <w:lang w:val="en-US" w:eastAsia="zh-CN" w:bidi="ar-SA"/>
        </w:rPr>
        <w:t>水利空间要素数据字典</w:t>
      </w:r>
      <w:r>
        <w:rPr>
          <w:rFonts w:hint="eastAsia" w:ascii="仿宋" w:hAnsi="仿宋" w:eastAsia="仿宋" w:cs="仿宋"/>
          <w:bCs/>
          <w:kern w:val="2"/>
          <w:sz w:val="24"/>
          <w:szCs w:val="24"/>
          <w:highlight w:val="none"/>
          <w:lang w:val="en-US" w:eastAsia="zh-CN" w:bidi="ar-SA"/>
        </w:rPr>
        <w:t>》SL729-2016</w:t>
      </w:r>
    </w:p>
    <w:p w14:paraId="350310F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（11）《水利空间要素图式与表达规范》SL730-2015</w:t>
      </w:r>
    </w:p>
    <w:p w14:paraId="45D3A491">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（12）《国家基本比例尺地图图式 第1部分：1:500 1:1 000 1:2 000 地形图图式》GB/T 20257.1</w:t>
      </w:r>
    </w:p>
    <w:p w14:paraId="10D01891">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default"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（13）《水利水电工程安全监测设计规范》SL 725-2016</w:t>
      </w:r>
    </w:p>
    <w:p w14:paraId="71AED61E">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Chars="0"/>
        <w:textAlignment w:val="baseline"/>
        <w:rPr>
          <w:rFonts w:hint="eastAsia" w:ascii="仿宋" w:hAnsi="仿宋" w:eastAsia="仿宋" w:cs="仿宋"/>
          <w:bCs/>
          <w:kern w:val="2"/>
          <w:sz w:val="24"/>
          <w:szCs w:val="24"/>
          <w:highlight w:val="none"/>
          <w:lang w:val="en-US" w:eastAsia="zh-CN" w:bidi="ar-SA"/>
        </w:rPr>
      </w:pPr>
      <w:r>
        <w:rPr>
          <w:rFonts w:hint="eastAsia" w:ascii="仿宋" w:hAnsi="仿宋" w:eastAsia="仿宋" w:cs="仿宋"/>
          <w:bCs/>
          <w:kern w:val="2"/>
          <w:sz w:val="24"/>
          <w:szCs w:val="24"/>
          <w:highlight w:val="none"/>
          <w:lang w:val="en-US" w:eastAsia="zh-CN" w:bidi="ar-SA"/>
        </w:rPr>
        <w:t>（14）《信息技术服务运行维护 第6部分：应用系统服务要求》GB/T 28827.6-2019</w:t>
      </w:r>
    </w:p>
    <w:p w14:paraId="7088C48B">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default"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3.具体工作内容</w:t>
      </w:r>
    </w:p>
    <w:p w14:paraId="3306D34F">
      <w:pPr>
        <w:pStyle w:val="3"/>
        <w:keepNext w:val="0"/>
        <w:keepLines w:val="0"/>
        <w:pageBreakBefore w:val="0"/>
        <w:widowControl w:val="0"/>
        <w:numPr>
          <w:ilvl w:val="1"/>
          <w:numId w:val="0"/>
        </w:numPr>
        <w:kinsoku/>
        <w:wordWrap/>
        <w:overflowPunct/>
        <w:topLinePunct w:val="0"/>
        <w:autoSpaceDE w:val="0"/>
        <w:autoSpaceDN w:val="0"/>
        <w:bidi w:val="0"/>
        <w:adjustRightInd w:val="0"/>
        <w:snapToGrid/>
        <w:spacing w:line="480" w:lineRule="auto"/>
        <w:ind w:left="0" w:leftChars="0" w:firstLine="0" w:firstLineChars="0"/>
        <w:textAlignment w:val="baseline"/>
        <w:rPr>
          <w:rFonts w:hint="default"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3</w:t>
      </w:r>
      <w:r>
        <w:rPr>
          <w:rFonts w:hint="default" w:ascii="仿宋" w:hAnsi="仿宋" w:eastAsia="仿宋" w:cs="仿宋"/>
          <w:bCs/>
          <w:kern w:val="2"/>
          <w:sz w:val="28"/>
          <w:szCs w:val="28"/>
          <w:highlight w:val="none"/>
          <w:lang w:val="en-US" w:eastAsia="zh-CN" w:bidi="ar-SA"/>
        </w:rPr>
        <w:t>.</w:t>
      </w:r>
      <w:r>
        <w:rPr>
          <w:rFonts w:hint="eastAsia" w:ascii="仿宋" w:hAnsi="仿宋" w:eastAsia="仿宋" w:cs="仿宋"/>
          <w:bCs/>
          <w:kern w:val="2"/>
          <w:sz w:val="28"/>
          <w:szCs w:val="28"/>
          <w:highlight w:val="none"/>
          <w:lang w:val="en-US" w:eastAsia="zh-CN" w:bidi="ar-SA"/>
        </w:rPr>
        <w:t xml:space="preserve">1 </w:t>
      </w:r>
      <w:r>
        <w:rPr>
          <w:rFonts w:hint="eastAsia" w:ascii="仿宋" w:hAnsi="仿宋" w:eastAsia="仿宋" w:cs="仿宋"/>
          <w:bCs/>
          <w:kern w:val="2"/>
          <w:sz w:val="28"/>
          <w:szCs w:val="28"/>
          <w:highlight w:val="none"/>
          <w:lang w:val="en-US" w:eastAsia="zh-CN" w:bidi="ar-SA"/>
        </w:rPr>
        <w:t>工程测量：包括但不限于控制测量、无人机正射影像地图、地面和空中360度全景影像、实景三维模型、涉河工程监管要点测量、水深测量、监测报告编制等。</w:t>
      </w:r>
    </w:p>
    <w:p w14:paraId="6B2D6142">
      <w:pPr>
        <w:pStyle w:val="3"/>
        <w:keepNext w:val="0"/>
        <w:keepLines w:val="0"/>
        <w:pageBreakBefore w:val="0"/>
        <w:widowControl w:val="0"/>
        <w:numPr>
          <w:ilvl w:val="1"/>
          <w:numId w:val="0"/>
        </w:numPr>
        <w:kinsoku/>
        <w:wordWrap/>
        <w:overflowPunct/>
        <w:topLinePunct w:val="0"/>
        <w:autoSpaceDE w:val="0"/>
        <w:autoSpaceDN w:val="0"/>
        <w:bidi w:val="0"/>
        <w:adjustRightInd w:val="0"/>
        <w:snapToGrid/>
        <w:spacing w:line="480" w:lineRule="auto"/>
        <w:ind w:left="0" w:leftChars="0" w:firstLine="0" w:firstLineChars="0"/>
        <w:textAlignment w:val="baseline"/>
        <w:rPr>
          <w:rFonts w:hint="default"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3.2 涉河建设项目行政审批监督事项技术服务</w:t>
      </w:r>
    </w:p>
    <w:p w14:paraId="0033FCF5">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（1）根据涉河建设项目行政审批管理信息系统中用户上报的项目审批材料，分析提取监测要点。</w:t>
      </w:r>
    </w:p>
    <w:p w14:paraId="590061E7">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default" w:ascii="仿宋" w:hAnsi="仿宋" w:eastAsia="仿宋" w:cs="仿宋"/>
          <w:bCs/>
          <w:kern w:val="2"/>
          <w:sz w:val="28"/>
          <w:szCs w:val="28"/>
          <w:highlight w:val="none"/>
          <w:lang w:val="en-US" w:eastAsia="zh-CN" w:bidi="ar-SA"/>
        </w:rPr>
      </w:pPr>
      <w:r>
        <w:rPr>
          <w:rFonts w:hint="default" w:ascii="仿宋" w:hAnsi="仿宋" w:eastAsia="仿宋" w:cs="仿宋"/>
          <w:bCs/>
          <w:kern w:val="2"/>
          <w:sz w:val="28"/>
          <w:szCs w:val="28"/>
          <w:highlight w:val="none"/>
          <w:lang w:val="en-US" w:eastAsia="zh-CN" w:bidi="ar-SA"/>
        </w:rPr>
        <w:t>（2）</w:t>
      </w:r>
      <w:r>
        <w:rPr>
          <w:rFonts w:hint="eastAsia" w:ascii="仿宋" w:hAnsi="仿宋" w:eastAsia="仿宋" w:cs="仿宋"/>
          <w:bCs/>
          <w:kern w:val="2"/>
          <w:sz w:val="28"/>
          <w:szCs w:val="28"/>
          <w:highlight w:val="none"/>
          <w:lang w:val="en-US" w:eastAsia="zh-CN" w:bidi="ar-SA"/>
        </w:rPr>
        <w:t>按照监测要点进行外业监测，利用现代测绘技术、地理信息和信息化技术完成涉河建设项目施工前、施工中、施工后的全要素地形、审批监管要点的测绘工作。并使用管理系统实时推送所有监测数据（包括地面、水下和工程项目的二三维地理模型）。</w:t>
      </w:r>
    </w:p>
    <w:p w14:paraId="05548C00">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default" w:ascii="仿宋" w:hAnsi="仿宋" w:eastAsia="仿宋" w:cs="仿宋"/>
          <w:bCs/>
          <w:kern w:val="2"/>
          <w:sz w:val="28"/>
          <w:szCs w:val="28"/>
          <w:highlight w:val="none"/>
          <w:lang w:val="en-US" w:eastAsia="zh-CN" w:bidi="ar-SA"/>
        </w:rPr>
      </w:pPr>
      <w:r>
        <w:rPr>
          <w:rFonts w:hint="default" w:ascii="仿宋" w:hAnsi="仿宋" w:eastAsia="仿宋" w:cs="仿宋"/>
          <w:bCs/>
          <w:kern w:val="2"/>
          <w:sz w:val="28"/>
          <w:szCs w:val="28"/>
          <w:highlight w:val="none"/>
          <w:lang w:val="en-US" w:eastAsia="zh-CN" w:bidi="ar-SA"/>
        </w:rPr>
        <w:t>（3）</w:t>
      </w:r>
      <w:r>
        <w:rPr>
          <w:rFonts w:hint="eastAsia" w:ascii="仿宋" w:hAnsi="仿宋" w:eastAsia="仿宋" w:cs="仿宋"/>
          <w:bCs/>
          <w:kern w:val="2"/>
          <w:sz w:val="28"/>
          <w:szCs w:val="28"/>
          <w:highlight w:val="none"/>
          <w:lang w:val="en-US" w:eastAsia="zh-CN" w:bidi="ar-SA"/>
        </w:rPr>
        <w:t>根据监测数据编制涉河建设项目行政审批监测报告，</w:t>
      </w:r>
      <w:r>
        <w:rPr>
          <w:rFonts w:hint="eastAsia" w:ascii="仿宋" w:hAnsi="仿宋" w:eastAsia="仿宋" w:cs="仿宋"/>
          <w:bCs/>
          <w:kern w:val="2"/>
          <w:sz w:val="28"/>
          <w:szCs w:val="28"/>
          <w:highlight w:val="none"/>
          <w:lang w:val="en-US" w:eastAsia="zh-CN" w:bidi="ar-SA"/>
        </w:rPr>
        <w:t>及时进行数据推送及对异常数据进行提醒。</w:t>
      </w:r>
    </w:p>
    <w:p w14:paraId="5837016B">
      <w:pPr>
        <w:pStyle w:val="3"/>
        <w:keepNext w:val="0"/>
        <w:keepLines w:val="0"/>
        <w:pageBreakBefore w:val="0"/>
        <w:widowControl w:val="0"/>
        <w:numPr>
          <w:ilvl w:val="1"/>
          <w:numId w:val="0"/>
        </w:numPr>
        <w:kinsoku/>
        <w:wordWrap/>
        <w:overflowPunct/>
        <w:topLinePunct w:val="0"/>
        <w:autoSpaceDE w:val="0"/>
        <w:autoSpaceDN w:val="0"/>
        <w:bidi w:val="0"/>
        <w:adjustRightInd w:val="0"/>
        <w:snapToGrid/>
        <w:spacing w:line="480" w:lineRule="auto"/>
        <w:ind w:left="0" w:leftChars="0" w:firstLine="0" w:firstLineChars="0"/>
        <w:textAlignment w:val="baseline"/>
        <w:rPr>
          <w:rFonts w:hint="default"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3</w:t>
      </w:r>
      <w:r>
        <w:rPr>
          <w:rFonts w:hint="default" w:ascii="仿宋" w:hAnsi="仿宋" w:eastAsia="仿宋" w:cs="仿宋"/>
          <w:bCs/>
          <w:kern w:val="2"/>
          <w:sz w:val="28"/>
          <w:szCs w:val="28"/>
          <w:highlight w:val="none"/>
          <w:lang w:val="en-US" w:eastAsia="zh-CN" w:bidi="ar-SA"/>
        </w:rPr>
        <w:t>.</w:t>
      </w:r>
      <w:r>
        <w:rPr>
          <w:rFonts w:hint="eastAsia" w:ascii="仿宋" w:hAnsi="仿宋" w:eastAsia="仿宋" w:cs="仿宋"/>
          <w:bCs/>
          <w:kern w:val="2"/>
          <w:sz w:val="28"/>
          <w:szCs w:val="28"/>
          <w:highlight w:val="none"/>
          <w:lang w:val="en-US" w:eastAsia="zh-CN" w:bidi="ar-SA"/>
        </w:rPr>
        <w:t>3 配合水政监察提供技术服务</w:t>
      </w:r>
    </w:p>
    <w:p w14:paraId="4EE01F70">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配合水行政部门的需求，对执法过程中对涉嫌违法占用水域的事件提供测绘技术保障服务。</w:t>
      </w:r>
    </w:p>
    <w:p w14:paraId="7B3A18F9">
      <w:pPr>
        <w:pStyle w:val="3"/>
        <w:keepNext w:val="0"/>
        <w:keepLines w:val="0"/>
        <w:pageBreakBefore w:val="0"/>
        <w:widowControl w:val="0"/>
        <w:numPr>
          <w:ilvl w:val="1"/>
          <w:numId w:val="0"/>
        </w:numPr>
        <w:kinsoku/>
        <w:wordWrap/>
        <w:overflowPunct/>
        <w:topLinePunct w:val="0"/>
        <w:autoSpaceDE w:val="0"/>
        <w:autoSpaceDN w:val="0"/>
        <w:bidi w:val="0"/>
        <w:adjustRightInd w:val="0"/>
        <w:snapToGrid/>
        <w:spacing w:line="480" w:lineRule="auto"/>
        <w:ind w:left="0" w:leftChars="0" w:firstLine="0" w:firstLineChars="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3</w:t>
      </w:r>
      <w:r>
        <w:rPr>
          <w:rFonts w:hint="default" w:ascii="仿宋" w:hAnsi="仿宋" w:eastAsia="仿宋" w:cs="仿宋"/>
          <w:bCs/>
          <w:kern w:val="2"/>
          <w:sz w:val="28"/>
          <w:szCs w:val="28"/>
          <w:highlight w:val="none"/>
          <w:lang w:val="en-US" w:eastAsia="zh-CN" w:bidi="ar-SA"/>
        </w:rPr>
        <w:t>.</w:t>
      </w:r>
      <w:r>
        <w:rPr>
          <w:rFonts w:hint="eastAsia" w:ascii="仿宋" w:hAnsi="仿宋" w:eastAsia="仿宋" w:cs="仿宋"/>
          <w:bCs/>
          <w:kern w:val="2"/>
          <w:sz w:val="28"/>
          <w:szCs w:val="28"/>
          <w:highlight w:val="none"/>
          <w:lang w:val="en-US" w:eastAsia="zh-CN" w:bidi="ar-SA"/>
        </w:rPr>
        <w:t xml:space="preserve">4 </w:t>
      </w:r>
      <w:r>
        <w:rPr>
          <w:rFonts w:hint="eastAsia" w:ascii="仿宋" w:hAnsi="仿宋" w:eastAsia="仿宋" w:cs="仿宋"/>
          <w:bCs/>
          <w:kern w:val="2"/>
          <w:sz w:val="28"/>
          <w:szCs w:val="28"/>
          <w:highlight w:val="none"/>
          <w:lang w:val="en-US" w:eastAsia="zh-CN" w:bidi="ar-SA"/>
        </w:rPr>
        <w:t>水利设施安全监测服务</w:t>
      </w:r>
    </w:p>
    <w:p w14:paraId="6C2C5C6A">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涉河工程建设过程中可能会影响到附件水利设施的运行安全，水利设施（驳岸）监测是一项重要的工程管理措施，主要用于监测和评估水域或岸边驳岸的稳定性，能够及时掌握驳岸的变化情况（驳岸损毁、崩塌等风险），提前预警并采取措施，保障工程安全和防洪的可持续性。</w:t>
      </w:r>
    </w:p>
    <w:p w14:paraId="69B6F738">
      <w:pPr>
        <w:pStyle w:val="3"/>
        <w:keepNext w:val="0"/>
        <w:keepLines w:val="0"/>
        <w:pageBreakBefore w:val="0"/>
        <w:widowControl w:val="0"/>
        <w:numPr>
          <w:ilvl w:val="0"/>
          <w:numId w:val="2"/>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驳岸监测，包括驳岸的位移监测、裂缝监测、视频监测。</w:t>
      </w:r>
    </w:p>
    <w:p w14:paraId="4136DAD0">
      <w:pPr>
        <w:pStyle w:val="3"/>
        <w:keepNext w:val="0"/>
        <w:keepLines w:val="0"/>
        <w:pageBreakBefore w:val="0"/>
        <w:widowControl w:val="0"/>
        <w:numPr>
          <w:ilvl w:val="0"/>
          <w:numId w:val="2"/>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监测频率和方式：确定监测的时间间隔和方式，如常规定时监测、实时监测、远程监测等，以获取及时的监测数据。</w:t>
      </w:r>
    </w:p>
    <w:p w14:paraId="1F4AED39">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3）数据处理与分析：对监测数据进行处理和分析，利用数学和统计方法，评估驳岸工程的稳定性，并进行预测和预警分析。对监测数据进行实时数据分析，绘制监测曲线，根据设定的阈值进行实时预警。</w:t>
      </w:r>
    </w:p>
    <w:p w14:paraId="2E482B0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default"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4）在不超过2个重点涉河项目进行此项监测部署。</w:t>
      </w:r>
    </w:p>
    <w:p w14:paraId="0ED06DB4">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default"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4.工作量和服务方式</w:t>
      </w:r>
    </w:p>
    <w:p w14:paraId="0BE74190">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涉水工程建设项目按照开工建设前1次、项目建设过程中0~2次(具体根据项目规模调整监测次数）、项目完工后1次，共计2~4次测绘工作。</w:t>
      </w:r>
      <w:r>
        <w:rPr>
          <w:rFonts w:hint="eastAsia" w:ascii="仿宋" w:hAnsi="仿宋" w:eastAsia="仿宋" w:cs="仿宋"/>
          <w:bCs/>
          <w:kern w:val="2"/>
          <w:sz w:val="28"/>
          <w:szCs w:val="28"/>
          <w:highlight w:val="none"/>
          <w:lang w:val="en-US" w:eastAsia="zh-CN" w:bidi="ar-SA"/>
        </w:rPr>
        <w:t>本项目</w:t>
      </w:r>
      <w:r>
        <w:rPr>
          <w:rFonts w:hint="eastAsia" w:ascii="仿宋" w:hAnsi="仿宋" w:eastAsia="仿宋" w:cs="仿宋"/>
          <w:bCs/>
          <w:kern w:val="2"/>
          <w:sz w:val="28"/>
          <w:szCs w:val="28"/>
          <w:highlight w:val="none"/>
          <w:lang w:val="en-US" w:eastAsia="zh-CN" w:bidi="ar-SA"/>
        </w:rPr>
        <w:t>具体实施按照项目报批时间节点或采购方要求执行。</w:t>
      </w:r>
    </w:p>
    <w:p w14:paraId="3B129526">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eastAsia"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5.服务周期</w:t>
      </w:r>
    </w:p>
    <w:p w14:paraId="0C8EFF27">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本项目服务期为12个月。</w:t>
      </w:r>
    </w:p>
    <w:p w14:paraId="4B494F4D">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textAlignment w:val="baseline"/>
        <w:rPr>
          <w:rFonts w:hint="eastAsia" w:ascii="仿宋" w:hAnsi="仿宋" w:eastAsia="仿宋" w:cs="仿宋"/>
          <w:b/>
          <w:bCs w:val="0"/>
          <w:kern w:val="2"/>
          <w:sz w:val="28"/>
          <w:szCs w:val="28"/>
          <w:highlight w:val="none"/>
          <w:lang w:val="en-US" w:eastAsia="zh-CN" w:bidi="ar-SA"/>
        </w:rPr>
      </w:pPr>
      <w:r>
        <w:rPr>
          <w:rFonts w:hint="eastAsia" w:ascii="仿宋" w:hAnsi="仿宋" w:eastAsia="仿宋" w:cs="仿宋"/>
          <w:b/>
          <w:bCs w:val="0"/>
          <w:kern w:val="2"/>
          <w:sz w:val="28"/>
          <w:szCs w:val="28"/>
          <w:highlight w:val="none"/>
          <w:lang w:val="en-US" w:eastAsia="zh-CN" w:bidi="ar-SA"/>
        </w:rPr>
        <w:t>6.合同付款方式</w:t>
      </w:r>
    </w:p>
    <w:p w14:paraId="41D3DB0A">
      <w:pPr>
        <w:pStyle w:val="3"/>
        <w:keepNext w:val="0"/>
        <w:keepLines w:val="0"/>
        <w:pageBreakBefore w:val="0"/>
        <w:widowControl w:val="0"/>
        <w:numPr>
          <w:ilvl w:val="0"/>
          <w:numId w:val="0"/>
        </w:numPr>
        <w:kinsoku/>
        <w:wordWrap/>
        <w:overflowPunct/>
        <w:topLinePunct w:val="0"/>
        <w:autoSpaceDE w:val="0"/>
        <w:autoSpaceDN w:val="0"/>
        <w:bidi w:val="0"/>
        <w:adjustRightInd w:val="0"/>
        <w:snapToGrid/>
        <w:spacing w:line="480" w:lineRule="auto"/>
        <w:ind w:left="0" w:leftChars="0" w:firstLine="560" w:firstLineChars="200"/>
        <w:textAlignment w:val="baseline"/>
        <w:rPr>
          <w:rFonts w:hint="eastAsia" w:ascii="仿宋" w:hAnsi="仿宋" w:eastAsia="仿宋" w:cs="仿宋"/>
          <w:bCs/>
          <w:kern w:val="2"/>
          <w:sz w:val="28"/>
          <w:szCs w:val="28"/>
          <w:highlight w:val="none"/>
          <w:lang w:val="en-US" w:eastAsia="zh-CN" w:bidi="ar-SA"/>
        </w:rPr>
      </w:pPr>
      <w:r>
        <w:rPr>
          <w:rFonts w:hint="eastAsia" w:ascii="仿宋" w:hAnsi="仿宋" w:eastAsia="仿宋" w:cs="仿宋"/>
          <w:bCs/>
          <w:kern w:val="2"/>
          <w:sz w:val="28"/>
          <w:szCs w:val="28"/>
          <w:highlight w:val="none"/>
          <w:lang w:val="en-US" w:eastAsia="zh-CN" w:bidi="ar-SA"/>
        </w:rPr>
        <w:t>本项目服务费按项目进度支付，合同签订后付至合同价30%作为预付款，服务期为期一年（共85次工程测量监管服务+2次水利设施安全监测服务，用完即止，次数未用完合同服务期不顺延），每季度按实际发生次数经验收后支付服务费，其中预付款在项目第一次支付服务费时一次性扣回，如无法一次性扣回则顺延至下一次支付服务费时扣回直至全部扣回预付款。</w:t>
      </w:r>
    </w:p>
    <w:p w14:paraId="1FD3E7EE">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34A990"/>
    <w:multiLevelType w:val="singleLevel"/>
    <w:tmpl w:val="A134A990"/>
    <w:lvl w:ilvl="0" w:tentative="0">
      <w:start w:val="1"/>
      <w:numFmt w:val="decimal"/>
      <w:suff w:val="nothing"/>
      <w:lvlText w:val="%1）"/>
      <w:lvlJc w:val="left"/>
    </w:lvl>
  </w:abstractNum>
  <w:abstractNum w:abstractNumId="1">
    <w:nsid w:val="552401FC"/>
    <w:multiLevelType w:val="multilevel"/>
    <w:tmpl w:val="552401FC"/>
    <w:lvl w:ilvl="0" w:tentative="0">
      <w:start w:val="1"/>
      <w:numFmt w:val="bullet"/>
      <w:pStyle w:val="3"/>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3165"/>
        </w:tabs>
        <w:ind w:left="3165" w:hanging="420"/>
      </w:pPr>
      <w:rPr>
        <w:rFonts w:hint="default" w:ascii="Wingdings" w:hAnsi="Wingdings"/>
      </w:rPr>
    </w:lvl>
    <w:lvl w:ilvl="2" w:tentative="0">
      <w:start w:val="1"/>
      <w:numFmt w:val="bullet"/>
      <w:lvlText w:val=""/>
      <w:lvlJc w:val="left"/>
      <w:pPr>
        <w:tabs>
          <w:tab w:val="left" w:pos="3585"/>
        </w:tabs>
        <w:ind w:left="3585" w:hanging="420"/>
      </w:pPr>
      <w:rPr>
        <w:rFonts w:hint="default" w:ascii="Wingdings" w:hAnsi="Wingdings"/>
      </w:rPr>
    </w:lvl>
    <w:lvl w:ilvl="3" w:tentative="0">
      <w:start w:val="1"/>
      <w:numFmt w:val="bullet"/>
      <w:lvlText w:val=""/>
      <w:lvlJc w:val="left"/>
      <w:pPr>
        <w:tabs>
          <w:tab w:val="left" w:pos="4005"/>
        </w:tabs>
        <w:ind w:left="4005" w:hanging="420"/>
      </w:pPr>
      <w:rPr>
        <w:rFonts w:hint="default" w:ascii="Wingdings" w:hAnsi="Wingdings"/>
      </w:rPr>
    </w:lvl>
    <w:lvl w:ilvl="4" w:tentative="0">
      <w:start w:val="1"/>
      <w:numFmt w:val="bullet"/>
      <w:lvlText w:val=""/>
      <w:lvlJc w:val="left"/>
      <w:pPr>
        <w:tabs>
          <w:tab w:val="left" w:pos="4425"/>
        </w:tabs>
        <w:ind w:left="4425" w:hanging="420"/>
      </w:pPr>
      <w:rPr>
        <w:rFonts w:hint="default" w:ascii="Wingdings" w:hAnsi="Wingdings"/>
      </w:rPr>
    </w:lvl>
    <w:lvl w:ilvl="5" w:tentative="0">
      <w:start w:val="1"/>
      <w:numFmt w:val="bullet"/>
      <w:lvlText w:val=""/>
      <w:lvlJc w:val="left"/>
      <w:pPr>
        <w:tabs>
          <w:tab w:val="left" w:pos="4845"/>
        </w:tabs>
        <w:ind w:left="4845" w:hanging="420"/>
      </w:pPr>
      <w:rPr>
        <w:rFonts w:hint="default" w:ascii="Wingdings" w:hAnsi="Wingdings"/>
      </w:rPr>
    </w:lvl>
    <w:lvl w:ilvl="6" w:tentative="0">
      <w:start w:val="1"/>
      <w:numFmt w:val="bullet"/>
      <w:lvlText w:val=""/>
      <w:lvlJc w:val="left"/>
      <w:pPr>
        <w:tabs>
          <w:tab w:val="left" w:pos="5265"/>
        </w:tabs>
        <w:ind w:left="5265" w:hanging="420"/>
      </w:pPr>
      <w:rPr>
        <w:rFonts w:hint="default" w:ascii="Wingdings" w:hAnsi="Wingdings"/>
      </w:rPr>
    </w:lvl>
    <w:lvl w:ilvl="7" w:tentative="0">
      <w:start w:val="1"/>
      <w:numFmt w:val="bullet"/>
      <w:lvlText w:val=""/>
      <w:lvlJc w:val="left"/>
      <w:pPr>
        <w:tabs>
          <w:tab w:val="left" w:pos="5685"/>
        </w:tabs>
        <w:ind w:left="5685" w:hanging="420"/>
      </w:pPr>
      <w:rPr>
        <w:rFonts w:hint="default" w:ascii="Wingdings" w:hAnsi="Wingdings"/>
      </w:rPr>
    </w:lvl>
    <w:lvl w:ilvl="8" w:tentative="0">
      <w:start w:val="1"/>
      <w:numFmt w:val="bullet"/>
      <w:lvlText w:val=""/>
      <w:lvlJc w:val="left"/>
      <w:pPr>
        <w:tabs>
          <w:tab w:val="left" w:pos="6105"/>
        </w:tabs>
        <w:ind w:left="6105" w:hanging="42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C0321B"/>
    <w:rsid w:val="00CE72AE"/>
    <w:rsid w:val="08510EF1"/>
    <w:rsid w:val="0950354D"/>
    <w:rsid w:val="0955056D"/>
    <w:rsid w:val="0E195C82"/>
    <w:rsid w:val="0E8C4A31"/>
    <w:rsid w:val="0F2729AB"/>
    <w:rsid w:val="0F4E7F38"/>
    <w:rsid w:val="16734728"/>
    <w:rsid w:val="1C9D24FF"/>
    <w:rsid w:val="1E7A2AF8"/>
    <w:rsid w:val="1F5570C1"/>
    <w:rsid w:val="257C53A7"/>
    <w:rsid w:val="282C4737"/>
    <w:rsid w:val="2A1261E7"/>
    <w:rsid w:val="2AA607D0"/>
    <w:rsid w:val="2FCC6F2B"/>
    <w:rsid w:val="3071515C"/>
    <w:rsid w:val="32EE540A"/>
    <w:rsid w:val="36C4095C"/>
    <w:rsid w:val="3DAC214A"/>
    <w:rsid w:val="43C0321B"/>
    <w:rsid w:val="441C02D9"/>
    <w:rsid w:val="461B7E6D"/>
    <w:rsid w:val="466C5B91"/>
    <w:rsid w:val="4D697710"/>
    <w:rsid w:val="4DC64B62"/>
    <w:rsid w:val="4FBE01E7"/>
    <w:rsid w:val="56FE35BF"/>
    <w:rsid w:val="5FFE63DD"/>
    <w:rsid w:val="60025ECE"/>
    <w:rsid w:val="6461518D"/>
    <w:rsid w:val="65A73073"/>
    <w:rsid w:val="681C2EFD"/>
    <w:rsid w:val="6CF17210"/>
    <w:rsid w:val="6DCC3677"/>
    <w:rsid w:val="6E02353D"/>
    <w:rsid w:val="6E2B2A93"/>
    <w:rsid w:val="77316C41"/>
    <w:rsid w:val="78E264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index 4"/>
    <w:basedOn w:val="1"/>
    <w:next w:val="1"/>
    <w:qFormat/>
    <w:uiPriority w:val="99"/>
    <w:pPr>
      <w:ind w:left="600" w:leftChars="600"/>
    </w:pPr>
    <w:rPr>
      <w:szCs w:val="24"/>
    </w:rPr>
  </w:style>
  <w:style w:type="paragraph" w:styleId="3">
    <w:name w:val="List"/>
    <w:basedOn w:val="1"/>
    <w:qFormat/>
    <w:uiPriority w:val="0"/>
    <w:pPr>
      <w:numPr>
        <w:ilvl w:val="0"/>
        <w:numId w:val="1"/>
      </w:numPr>
      <w:autoSpaceDE w:val="0"/>
      <w:autoSpaceDN w:val="0"/>
      <w:adjustRightInd w:val="0"/>
      <w:spacing w:after="20" w:line="288" w:lineRule="auto"/>
      <w:textAlignment w:val="baseline"/>
    </w:pPr>
    <w:rPr>
      <w:kern w:val="0"/>
      <w:szCs w:val="20"/>
      <w:lang w:val="en-G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1756</Words>
  <Characters>1923</Characters>
  <Lines>0</Lines>
  <Paragraphs>0</Paragraphs>
  <TotalTime>17</TotalTime>
  <ScaleCrop>false</ScaleCrop>
  <LinksUpToDate>false</LinksUpToDate>
  <CharactersWithSpaces>1946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2025-03-14T03:50:00Z</dcterms:created>
  <dc:creator>『萍』</dc:creator>
  <cp:lastModifiedBy>『萍』</cp:lastModifiedBy>
  <dcterms:modified xsi:type="dcterms:W3CDTF">2025-04-08T11:01:43Z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8C7947440B594FABA15D2D58C6C002F4_11</vt:lpwstr>
  </property>
  <property fmtid="{D5CDD505-2E9C-101B-9397-08002B2CF9AE}" pid="4" name="KSOTemplateDocerSaveRecord">
    <vt:lpwstr>eyJoZGlkIjoiZDllMmRmMTU4YTI4MjhkYmU5OWFlMWZhNWExNmVhZWUiLCJ1c2VySWQiOiI1MDE4Mzc1MTcifQ==</vt:lpwstr>
  </property>
</Properties>
</file>